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F20D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3F20D3" w:rsidP="003F20D3">
      <w:pPr>
        <w:divId w:val="991255418"/>
        <w:rPr>
          <w:rFonts w:ascii="Verdana" w:hAnsi="Verdana"/>
          <w:sz w:val="18"/>
          <w:szCs w:val="18"/>
        </w:rPr>
      </w:pPr>
      <w:r>
        <w:rPr>
          <w:rFonts w:ascii="Verdana" w:eastAsia="Times New Roman" w:hAnsi="Verdana"/>
          <w:b/>
          <w:bCs/>
          <w:sz w:val="18"/>
          <w:szCs w:val="18"/>
        </w:rPr>
        <w:t>Dialectische gedragstherapie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Dialectische gedragstherapie is op dit moment de best onderzochte behandelmethode voor mensen met ernstige emotionele ontregeling en vooral voor de borderline persoonlijkheidsstoorni</w:t>
      </w:r>
      <w:r>
        <w:rPr>
          <w:rFonts w:ascii="Verdana" w:hAnsi="Verdana"/>
          <w:sz w:val="18"/>
          <w:szCs w:val="18"/>
        </w:rPr>
        <w:t>s. Maar inmiddels is de effectiviteit van DGT ook aangetoond bij een veelvoud van ernstige (</w:t>
      </w:r>
      <w:proofErr w:type="spellStart"/>
      <w:r>
        <w:rPr>
          <w:rFonts w:ascii="Verdana" w:hAnsi="Verdana"/>
          <w:sz w:val="18"/>
          <w:szCs w:val="18"/>
        </w:rPr>
        <w:t>gedrags</w:t>
      </w:r>
      <w:proofErr w:type="spellEnd"/>
      <w:r>
        <w:rPr>
          <w:rFonts w:ascii="Verdana" w:hAnsi="Verdana"/>
          <w:sz w:val="18"/>
          <w:szCs w:val="18"/>
        </w:rPr>
        <w:t xml:space="preserve">)problematiek, vaak </w:t>
      </w:r>
      <w:proofErr w:type="spellStart"/>
      <w:r>
        <w:rPr>
          <w:rFonts w:ascii="Verdana" w:hAnsi="Verdana"/>
          <w:sz w:val="18"/>
          <w:szCs w:val="18"/>
        </w:rPr>
        <w:t>comorbide</w:t>
      </w:r>
      <w:proofErr w:type="spellEnd"/>
      <w:r>
        <w:rPr>
          <w:rFonts w:ascii="Verdana" w:hAnsi="Verdana"/>
          <w:sz w:val="18"/>
          <w:szCs w:val="18"/>
        </w:rPr>
        <w:t xml:space="preserve"> aan de persoonlijkheidsstoornis: middelenmisbruik, forensische problematiek, eetstoornissen, antisociale persoonlijkheidstrekke</w:t>
      </w:r>
      <w:r>
        <w:rPr>
          <w:rFonts w:ascii="Verdana" w:hAnsi="Verdana"/>
          <w:sz w:val="18"/>
          <w:szCs w:val="18"/>
        </w:rPr>
        <w:t>n. En DGT is toepasbaar bij mensen met een verstandelijke beperking!</w:t>
      </w:r>
      <w:r>
        <w:rPr>
          <w:rFonts w:ascii="Verdana" w:hAnsi="Verdana"/>
          <w:sz w:val="18"/>
          <w:szCs w:val="18"/>
        </w:rPr>
        <w:br/>
        <w:t xml:space="preserve">Toen Marsha </w:t>
      </w:r>
      <w:proofErr w:type="spellStart"/>
      <w:r>
        <w:rPr>
          <w:rFonts w:ascii="Verdana" w:hAnsi="Verdana"/>
          <w:sz w:val="18"/>
          <w:szCs w:val="18"/>
        </w:rPr>
        <w:t>Linehan</w:t>
      </w:r>
      <w:proofErr w:type="spellEnd"/>
      <w:r>
        <w:rPr>
          <w:rFonts w:ascii="Verdana" w:hAnsi="Verdana"/>
          <w:sz w:val="18"/>
          <w:szCs w:val="18"/>
        </w:rPr>
        <w:t xml:space="preserve"> in de jaren tachtig van de vorige eeuw met DGT begon, was de diagnose borderline infaust. Borderline problematiek was onbehandelbaar. En met de negatieve connotatie va</w:t>
      </w:r>
      <w:r>
        <w:rPr>
          <w:rFonts w:ascii="Verdana" w:hAnsi="Verdana"/>
          <w:sz w:val="18"/>
          <w:szCs w:val="18"/>
        </w:rPr>
        <w:t xml:space="preserve">n de stoornis werden therapeuten meegezogen. </w:t>
      </w:r>
      <w:proofErr w:type="spellStart"/>
      <w:r>
        <w:rPr>
          <w:rFonts w:ascii="Verdana" w:hAnsi="Verdana"/>
          <w:sz w:val="18"/>
          <w:szCs w:val="18"/>
        </w:rPr>
        <w:t>Linehan</w:t>
      </w:r>
      <w:proofErr w:type="spellEnd"/>
      <w:r>
        <w:rPr>
          <w:rFonts w:ascii="Verdana" w:hAnsi="Verdana"/>
          <w:sz w:val="18"/>
          <w:szCs w:val="18"/>
        </w:rPr>
        <w:t xml:space="preserve">, ondersteund door onderzoeksresultaten, pakte die mening in haar concept van het consultatieteam / </w:t>
      </w:r>
      <w:proofErr w:type="spellStart"/>
      <w:r>
        <w:rPr>
          <w:rFonts w:ascii="Verdana" w:hAnsi="Verdana"/>
          <w:sz w:val="18"/>
          <w:szCs w:val="18"/>
        </w:rPr>
        <w:t>one</w:t>
      </w:r>
      <w:proofErr w:type="spellEnd"/>
      <w:r>
        <w:rPr>
          <w:rFonts w:ascii="Verdana" w:hAnsi="Verdana"/>
          <w:sz w:val="18"/>
          <w:szCs w:val="18"/>
        </w:rPr>
        <w:t xml:space="preserve"> team model radicaal aan.</w:t>
      </w:r>
      <w:r>
        <w:rPr>
          <w:rFonts w:ascii="Verdana" w:hAnsi="Verdana"/>
          <w:sz w:val="18"/>
          <w:szCs w:val="18"/>
        </w:rPr>
        <w:br/>
        <w:t>Behandeling van ernstige emotionele ontregeling, zeker als die gepaard gaat</w:t>
      </w:r>
      <w:r>
        <w:rPr>
          <w:rFonts w:ascii="Verdana" w:hAnsi="Verdana"/>
          <w:sz w:val="18"/>
          <w:szCs w:val="18"/>
        </w:rPr>
        <w:t xml:space="preserve"> met (para)suïcidaal gedrag, kan pas plaatsvinden nadat de ondersteuning van therapeuten geborgd is. Voor behandelaars is het vaak moeilijk om te balanceren tussen het toepassen van de gedragstherapeutische interventies, en de strategieën die voortkomen ui</w:t>
      </w:r>
      <w:r>
        <w:rPr>
          <w:rFonts w:ascii="Verdana" w:hAnsi="Verdana"/>
          <w:sz w:val="18"/>
          <w:szCs w:val="18"/>
        </w:rPr>
        <w:t>t validatie en acceptatie bij patiënten. Omdat dit emotioneel een grote impact kan hebben op de behandelaren, is het voor hen noodzakelijk om hun eigen feilbaarheid volledig te accepteren.</w:t>
      </w:r>
      <w:r>
        <w:rPr>
          <w:rFonts w:ascii="Verdana" w:hAnsi="Verdana"/>
          <w:sz w:val="18"/>
          <w:szCs w:val="18"/>
        </w:rPr>
        <w:br/>
        <w:t>De cursus heeft als hoofddoel om je te leren de steun te onderkenne</w:t>
      </w:r>
      <w:r>
        <w:rPr>
          <w:rFonts w:ascii="Verdana" w:hAnsi="Verdana"/>
          <w:sz w:val="18"/>
          <w:szCs w:val="18"/>
        </w:rPr>
        <w:t xml:space="preserve">n, te vragen en te krijgen die onontbeerlijk is wanneer je betrokken bent bij de behandeling van patiënten met complexe emotionele ontregelingsproblematiek, inclusief </w:t>
      </w:r>
      <w:proofErr w:type="spellStart"/>
      <w:r>
        <w:rPr>
          <w:rFonts w:ascii="Verdana" w:hAnsi="Verdana"/>
          <w:sz w:val="18"/>
          <w:szCs w:val="18"/>
        </w:rPr>
        <w:t>comorbide</w:t>
      </w:r>
      <w:proofErr w:type="spellEnd"/>
      <w:r>
        <w:rPr>
          <w:rFonts w:ascii="Verdana" w:hAnsi="Verdana"/>
          <w:sz w:val="18"/>
          <w:szCs w:val="18"/>
        </w:rPr>
        <w:t xml:space="preserve"> stoornissen, waaronder de EPA-patiënten.</w:t>
      </w:r>
    </w:p>
    <w:p w:rsidR="00000000" w:rsidRDefault="003F20D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dialectische gedragstherapi</w:t>
      </w:r>
      <w:r>
        <w:rPr>
          <w:rFonts w:ascii="Verdana" w:eastAsia="Times New Roman" w:hAnsi="Verdana"/>
          <w:sz w:val="18"/>
          <w:szCs w:val="18"/>
        </w:rPr>
        <w:t>e staat commitment centraal. Commitment van de therapeut aan het programma en haar doelstellingen, commitment van de therapeut aan het consultatieteam, en commitment van de cliënt aan de therapeut en de therapie. Om commitment te kunnen geven, is het noodz</w:t>
      </w:r>
      <w:r>
        <w:rPr>
          <w:rFonts w:ascii="Verdana" w:eastAsia="Times New Roman" w:hAnsi="Verdana"/>
          <w:sz w:val="18"/>
          <w:szCs w:val="18"/>
        </w:rPr>
        <w:t>akelijk kennis te bezitten over de fundamenten van het programma, de logische wijze waarop het programma opgezet is, over de werkwijze en de problematiek van de cliënten.</w:t>
      </w:r>
    </w:p>
    <w:p w:rsidR="00000000" w:rsidRDefault="003F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dialectische gedragstherapie</w:t>
      </w:r>
    </w:p>
    <w:p w:rsidR="00000000" w:rsidRDefault="003F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overzicht van de interventies en strategieë</w:t>
      </w:r>
      <w:r>
        <w:rPr>
          <w:rFonts w:ascii="Verdana" w:eastAsia="Times New Roman" w:hAnsi="Verdana"/>
          <w:sz w:val="18"/>
          <w:szCs w:val="18"/>
        </w:rPr>
        <w:t>n die in de dialectische gedragstherapie worden gebruikt</w:t>
      </w:r>
    </w:p>
    <w:p w:rsidR="00000000" w:rsidRDefault="003F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kunnen inschatten wanneer welke dialectische gedragstherapie interventie noodzakelijk is; afhankelijk van het niveau van de ernst van de problematiek, de capaciteiten van de cliënt en de fase van de</w:t>
      </w:r>
      <w:r>
        <w:rPr>
          <w:rFonts w:ascii="Verdana" w:eastAsia="Times New Roman" w:hAnsi="Verdana"/>
          <w:sz w:val="18"/>
          <w:szCs w:val="18"/>
        </w:rPr>
        <w:t xml:space="preserve"> behandeling</w:t>
      </w:r>
    </w:p>
    <w:p w:rsidR="00000000" w:rsidRDefault="003F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in het toepassen van DGT bij ernstige emotionele ontregeling</w:t>
      </w:r>
    </w:p>
    <w:p w:rsidR="00000000" w:rsidRDefault="003F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kunnen inpassen van </w:t>
      </w:r>
      <w:proofErr w:type="spellStart"/>
      <w:r>
        <w:rPr>
          <w:rFonts w:ascii="Verdana" w:eastAsia="Times New Roman" w:hAnsi="Verdana"/>
          <w:sz w:val="18"/>
          <w:szCs w:val="18"/>
        </w:rPr>
        <w:t>comorbide</w:t>
      </w:r>
      <w:proofErr w:type="spellEnd"/>
      <w:r>
        <w:rPr>
          <w:rFonts w:ascii="Verdana" w:eastAsia="Times New Roman" w:hAnsi="Verdana"/>
          <w:sz w:val="18"/>
          <w:szCs w:val="18"/>
        </w:rPr>
        <w:t xml:space="preserve"> problematiek in de dialectische gedragstherapeutische behandeling</w:t>
      </w:r>
    </w:p>
    <w:p w:rsidR="00000000" w:rsidRDefault="003F20D3">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w:t>
      </w:r>
      <w:r>
        <w:rPr>
          <w:rFonts w:ascii="Verdana" w:eastAsia="Times New Roman" w:hAnsi="Verdana"/>
          <w:sz w:val="18"/>
          <w:szCs w:val="18"/>
        </w:rPr>
        <w:t>IG, Klinisch neuropsycholoog BIG, Gedragstherapeut, Psychiater en Verpleegkundig specialist</w:t>
      </w:r>
      <w:r>
        <w:rPr>
          <w:rFonts w:ascii="Verdana" w:eastAsia="Times New Roman" w:hAnsi="Verdana"/>
          <w:sz w:val="18"/>
          <w:szCs w:val="18"/>
        </w:rPr>
        <w:br/>
      </w:r>
      <w:r>
        <w:rPr>
          <w:rFonts w:ascii="Verdana" w:eastAsia="Times New Roman" w:hAnsi="Verdana"/>
          <w:sz w:val="18"/>
          <w:szCs w:val="18"/>
        </w:rPr>
        <w:br/>
        <w:t>Klinisch psycholoog, klinisch neuropsycholoog, psychotherapeut, psychiater, GZ-psycholoog met basiskennis cognitieve gedragstherapie (30 uur bij voorkeur 100 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Principes en uitgangspunten, wetenschappelijke onderbouw en structuur van DGT</w:t>
      </w:r>
      <w:r>
        <w:rPr>
          <w:rFonts w:ascii="Verdana" w:eastAsia="Times New Roman" w:hAnsi="Verdana"/>
          <w:sz w:val="18"/>
          <w:szCs w:val="18"/>
        </w:rPr>
        <w:br/>
        <w:t>Tijdens de eerste dag leggen we vooral een stevige, theoretische basis voor de rest van de cursus. We beginnen met een presentatie over indicatiestelling: voor wel</w:t>
      </w:r>
      <w:r>
        <w:rPr>
          <w:rFonts w:ascii="Verdana" w:eastAsia="Times New Roman" w:hAnsi="Verdana"/>
          <w:sz w:val="18"/>
          <w:szCs w:val="18"/>
        </w:rPr>
        <w:t xml:space="preserve">ke klinische problemen is Dialectische Gedragstherapie aangewezen, en hoe evalueer je dit? Daarna verduidelijken we waarom DGT best beschouwd wordt als een ‘hybride’ behandelmodel dat gebaseerd is op principes én protocollen. We bespreken hoe Prof. Dr. </w:t>
      </w:r>
      <w:proofErr w:type="spellStart"/>
      <w:r>
        <w:rPr>
          <w:rFonts w:ascii="Verdana" w:eastAsia="Times New Roman" w:hAnsi="Verdana"/>
          <w:sz w:val="18"/>
          <w:szCs w:val="18"/>
        </w:rPr>
        <w:t>Lin</w:t>
      </w:r>
      <w:r>
        <w:rPr>
          <w:rFonts w:ascii="Verdana" w:eastAsia="Times New Roman" w:hAnsi="Verdana"/>
          <w:sz w:val="18"/>
          <w:szCs w:val="18"/>
        </w:rPr>
        <w:t>ehan</w:t>
      </w:r>
      <w:proofErr w:type="spellEnd"/>
      <w:r>
        <w:rPr>
          <w:rFonts w:ascii="Verdana" w:eastAsia="Times New Roman" w:hAnsi="Verdana"/>
          <w:sz w:val="18"/>
          <w:szCs w:val="18"/>
        </w:rPr>
        <w:t>, op basis van haar eigen ervaring en onderzoek, het programma ontwikkelde dat we nu kennen. We onderzoeken de denkkaders die aan DGT ten grondslag liggen (wetenschap, Zen en dialectische filosofie) en hoe die op hun beurt de rode draad vormen in de pr</w:t>
      </w:r>
      <w:r>
        <w:rPr>
          <w:rFonts w:ascii="Verdana" w:eastAsia="Times New Roman" w:hAnsi="Verdana"/>
          <w:sz w:val="18"/>
          <w:szCs w:val="18"/>
        </w:rPr>
        <w:t xml:space="preserve">ogrammaonderdelen, de DGT-vaardigheden en de behandelstrategieën. De dag eindigt met het begrip ‘commitment’, en de toepassing van dat begrip als kandidaat DGT-behandelaar. </w:t>
      </w:r>
      <w:r>
        <w:rPr>
          <w:rFonts w:ascii="Verdana" w:eastAsia="Times New Roman" w:hAnsi="Verdana"/>
          <w:sz w:val="18"/>
          <w:szCs w:val="18"/>
        </w:rPr>
        <w:br/>
        <w:t>Dag 2: De drie kernstrategieën: validatie, problemen oplossen en dialectiek</w:t>
      </w:r>
      <w:r>
        <w:rPr>
          <w:rFonts w:ascii="Verdana" w:eastAsia="Times New Roman" w:hAnsi="Verdana"/>
          <w:sz w:val="18"/>
          <w:szCs w:val="18"/>
        </w:rPr>
        <w:br/>
        <w:t>Op dag</w:t>
      </w:r>
      <w:r>
        <w:rPr>
          <w:rFonts w:ascii="Verdana" w:eastAsia="Times New Roman" w:hAnsi="Verdana"/>
          <w:sz w:val="18"/>
          <w:szCs w:val="18"/>
        </w:rPr>
        <w:t xml:space="preserve"> twee overlopen we de drie kernstrategieën in DGT: validatiestrategieën, probleemoplossende strategieën en dialectische strategieën. De deelnemers leren dat er verschillende niveaus zijn waarin gedachten, emoties en gedragingen gevalideerd kunnen worden. Z</w:t>
      </w:r>
      <w:r>
        <w:rPr>
          <w:rFonts w:ascii="Verdana" w:eastAsia="Times New Roman" w:hAnsi="Verdana"/>
          <w:sz w:val="18"/>
          <w:szCs w:val="18"/>
        </w:rPr>
        <w:t>e leren ook hoe ze hun cliënten kunnen stimuleren (“</w:t>
      </w:r>
      <w:proofErr w:type="spellStart"/>
      <w:r>
        <w:rPr>
          <w:rFonts w:ascii="Verdana" w:eastAsia="Times New Roman" w:hAnsi="Verdana"/>
          <w:sz w:val="18"/>
          <w:szCs w:val="18"/>
        </w:rPr>
        <w:t>cheerleaden</w:t>
      </w:r>
      <w:proofErr w:type="spellEnd"/>
      <w:r>
        <w:rPr>
          <w:rFonts w:ascii="Verdana" w:eastAsia="Times New Roman" w:hAnsi="Verdana"/>
          <w:sz w:val="18"/>
          <w:szCs w:val="18"/>
        </w:rPr>
        <w:t>”) richting vaardig gedrag. Qua probleemoplossende strategieën besteden we vooral aandacht aan het doen van een effectieve ketenanalyse, en hoe je vanuit een analyse komt tot concrete problemen</w:t>
      </w:r>
      <w:r>
        <w:rPr>
          <w:rFonts w:ascii="Verdana" w:eastAsia="Times New Roman" w:hAnsi="Verdana"/>
          <w:sz w:val="18"/>
          <w:szCs w:val="18"/>
        </w:rPr>
        <w:t xml:space="preserve"> waarop geïntervenieerd kan worden. Ook de plek van exposure en cognitieve herstructurering binnen DGT wordt besproken. Verder leren we hoe een dialectisch perspectief behandelaars in staat stelt om de juiste spanning én flow te krijgen tijdens sessies. </w:t>
      </w:r>
      <w:r>
        <w:rPr>
          <w:rFonts w:ascii="Verdana" w:eastAsia="Times New Roman" w:hAnsi="Verdana"/>
          <w:sz w:val="18"/>
          <w:szCs w:val="18"/>
        </w:rPr>
        <w:br/>
      </w:r>
      <w:r>
        <w:rPr>
          <w:rFonts w:ascii="Verdana" w:eastAsia="Times New Roman" w:hAnsi="Verdana"/>
          <w:sz w:val="18"/>
          <w:szCs w:val="18"/>
        </w:rPr>
        <w:lastRenderedPageBreak/>
        <w:t>D</w:t>
      </w:r>
      <w:r>
        <w:rPr>
          <w:rFonts w:ascii="Verdana" w:eastAsia="Times New Roman" w:hAnsi="Verdana"/>
          <w:sz w:val="18"/>
          <w:szCs w:val="18"/>
        </w:rPr>
        <w:t xml:space="preserve">ag 3: Vaardigheidstraining en individuele therapie: wie, wat, waar, wanneer, hoe? </w:t>
      </w:r>
      <w:r>
        <w:rPr>
          <w:rFonts w:ascii="Verdana" w:eastAsia="Times New Roman" w:hAnsi="Verdana"/>
          <w:sz w:val="18"/>
          <w:szCs w:val="18"/>
        </w:rPr>
        <w:br/>
        <w:t>Thema van deze dag is hoe je patiënten nieuwe vaardigheden leert verwerven, leert toepassen en leert consolideren. Tijdens het eerste deel ligt de nadruk ligt op de structuu</w:t>
      </w:r>
      <w:r>
        <w:rPr>
          <w:rFonts w:ascii="Verdana" w:eastAsia="Times New Roman" w:hAnsi="Verdana"/>
          <w:sz w:val="18"/>
          <w:szCs w:val="18"/>
        </w:rPr>
        <w:t>r van de DGT -vaardigheidstraining, de rol van de trainer en co-trainer, en hoe je er als trainersduo kan bijdragen tot een goede (dan wel een valse) start. De verschillende modules van de DGT -vaardigheidstraining (mindfulness, emotieregulatie, frustratie</w:t>
      </w:r>
      <w:r>
        <w:rPr>
          <w:rFonts w:ascii="Verdana" w:eastAsia="Times New Roman" w:hAnsi="Verdana"/>
          <w:sz w:val="18"/>
          <w:szCs w:val="18"/>
        </w:rPr>
        <w:t xml:space="preserve">tolerantie/ aanvaarding en intermenselijke effectiviteit) worden in vogelvlucht overlopen. We sluiten het onderdeel af met voorbeelden van de meest voorkomende training belemmerende gedragingen en hoe je die kan aanpakken. Tijdens het tweede dagdeel staan </w:t>
      </w:r>
      <w:r>
        <w:rPr>
          <w:rFonts w:ascii="Verdana" w:eastAsia="Times New Roman" w:hAnsi="Verdana"/>
          <w:sz w:val="18"/>
          <w:szCs w:val="18"/>
        </w:rPr>
        <w:t>we stil bij de moeite die het kost om mensen, vooral als ze al lang emotioneel ontregeld zijn, een jaar lang gemotiveerd te houden. Zorgvuldigheid en betrouwbaarheid, en bijgevolg een duidelijke structuur, zijn cruciaal. De deelnemers leren hoe de eerste k</w:t>
      </w:r>
      <w:r>
        <w:rPr>
          <w:rFonts w:ascii="Verdana" w:eastAsia="Times New Roman" w:hAnsi="Verdana"/>
          <w:sz w:val="18"/>
          <w:szCs w:val="18"/>
        </w:rPr>
        <w:t>ennismaking, de behandelvoorbereiding, een “gewone sessie”, en de laatste sessies er precies uitzien in DGT. We gaan daarbij vooral in de vraag hoe je structuur kan bewaken zonder te verzanden in dogma’s en regels. Deelnemers leren het verschil tussen prim</w:t>
      </w:r>
      <w:r>
        <w:rPr>
          <w:rFonts w:ascii="Verdana" w:eastAsia="Times New Roman" w:hAnsi="Verdana"/>
          <w:sz w:val="18"/>
          <w:szCs w:val="18"/>
        </w:rPr>
        <w:t xml:space="preserve">aire en secundaire behandeldoelen, en hoe je op basis van een dagboekkaart prioriteiten stelt voor de individuele sessies. </w:t>
      </w:r>
      <w:r>
        <w:rPr>
          <w:rFonts w:ascii="Verdana" w:eastAsia="Times New Roman" w:hAnsi="Verdana"/>
          <w:sz w:val="18"/>
          <w:szCs w:val="18"/>
        </w:rPr>
        <w:br/>
        <w:t xml:space="preserve">Dag 4: Consultatieteam, consultatie-aan-de-cliënt principe, </w:t>
      </w:r>
      <w:proofErr w:type="spellStart"/>
      <w:r>
        <w:rPr>
          <w:rFonts w:ascii="Verdana" w:eastAsia="Times New Roman" w:hAnsi="Verdana"/>
          <w:sz w:val="18"/>
          <w:szCs w:val="18"/>
        </w:rPr>
        <w:t>suiciderisicotaxatie</w:t>
      </w:r>
      <w:proofErr w:type="spellEnd"/>
      <w:r>
        <w:rPr>
          <w:rFonts w:ascii="Verdana" w:eastAsia="Times New Roman" w:hAnsi="Verdana"/>
          <w:sz w:val="18"/>
          <w:szCs w:val="18"/>
        </w:rPr>
        <w:t xml:space="preserve"> en -management</w:t>
      </w:r>
      <w:r>
        <w:rPr>
          <w:rFonts w:ascii="Verdana" w:eastAsia="Times New Roman" w:hAnsi="Verdana"/>
          <w:sz w:val="18"/>
          <w:szCs w:val="18"/>
        </w:rPr>
        <w:br/>
        <w:t>Deelnemers leren hoe ze basisprincip</w:t>
      </w:r>
      <w:r>
        <w:rPr>
          <w:rFonts w:ascii="Verdana" w:eastAsia="Times New Roman" w:hAnsi="Verdana"/>
          <w:sz w:val="18"/>
          <w:szCs w:val="18"/>
        </w:rPr>
        <w:t>es en de structuur van het consultatieteam (de verplichte intervisie in DGT) kunnen neerzetten en vasthouden wanneer de spanning in het team toeneemt. We zullen het ook hebben over het consultatie-aan-de-cliënt principe, en hoe dit in DGT gebalanceerd word</w:t>
      </w:r>
      <w:r>
        <w:rPr>
          <w:rFonts w:ascii="Verdana" w:eastAsia="Times New Roman" w:hAnsi="Verdana"/>
          <w:sz w:val="18"/>
          <w:szCs w:val="18"/>
        </w:rPr>
        <w:t xml:space="preserve">t met interventies in de omgeving. Het tweede dagdeel staat volledig in het teken van suïciderisico-taxatie en -management in DGT. We besteden in het bijzonder aandacht aan het verschil tussen acuut en chronisch suïcidaal gedrag. </w:t>
      </w:r>
      <w:r>
        <w:rPr>
          <w:rFonts w:ascii="Verdana" w:eastAsia="Times New Roman" w:hAnsi="Verdana"/>
          <w:sz w:val="18"/>
          <w:szCs w:val="18"/>
        </w:rPr>
        <w:br/>
        <w:t>Dag 5: Specifieke protoco</w:t>
      </w:r>
      <w:r>
        <w:rPr>
          <w:rFonts w:ascii="Verdana" w:eastAsia="Times New Roman" w:hAnsi="Verdana"/>
          <w:sz w:val="18"/>
          <w:szCs w:val="18"/>
        </w:rPr>
        <w:t xml:space="preserve">llen (o.a. omgaan met crises en telefonische consultatie), implementatie van DGT, </w:t>
      </w:r>
      <w:proofErr w:type="spellStart"/>
      <w:r>
        <w:rPr>
          <w:rFonts w:ascii="Verdana" w:eastAsia="Times New Roman" w:hAnsi="Verdana"/>
          <w:sz w:val="18"/>
          <w:szCs w:val="18"/>
        </w:rPr>
        <w:t>comorbiditeit</w:t>
      </w:r>
      <w:proofErr w:type="spellEnd"/>
      <w:r>
        <w:rPr>
          <w:rFonts w:ascii="Verdana" w:eastAsia="Times New Roman" w:hAnsi="Verdana"/>
          <w:sz w:val="18"/>
          <w:szCs w:val="18"/>
        </w:rPr>
        <w:br/>
        <w:t>De laatste dag wordt besteed aan specifieke protocollen en strategieën. Onderwerpen als observeren en aangeven van persoonlijke grenzen, omgaan met therapie bel</w:t>
      </w:r>
      <w:r>
        <w:rPr>
          <w:rFonts w:ascii="Verdana" w:eastAsia="Times New Roman" w:hAnsi="Verdana"/>
          <w:sz w:val="18"/>
          <w:szCs w:val="18"/>
        </w:rPr>
        <w:t xml:space="preserve">emmerend gedrag in de individuele therapie, telefonische consultatie tijdens (suïcidale) crises en </w:t>
      </w:r>
      <w:proofErr w:type="spellStart"/>
      <w:r>
        <w:rPr>
          <w:rFonts w:ascii="Verdana" w:eastAsia="Times New Roman" w:hAnsi="Verdana"/>
          <w:sz w:val="18"/>
          <w:szCs w:val="18"/>
        </w:rPr>
        <w:t>overcorrectie</w:t>
      </w:r>
      <w:proofErr w:type="spellEnd"/>
      <w:r>
        <w:rPr>
          <w:rFonts w:ascii="Verdana" w:eastAsia="Times New Roman" w:hAnsi="Verdana"/>
          <w:sz w:val="18"/>
          <w:szCs w:val="18"/>
        </w:rPr>
        <w:t xml:space="preserve"> passeren de revue. De deelnemers leren ook hoe ze in de toekomst concreet kunnen starten met DGT als individu, als team en in de organisatie. E</w:t>
      </w:r>
      <w:r>
        <w:rPr>
          <w:rFonts w:ascii="Verdana" w:eastAsia="Times New Roman" w:hAnsi="Verdana"/>
          <w:sz w:val="18"/>
          <w:szCs w:val="18"/>
        </w:rPr>
        <w:t xml:space="preserve">r wordt ook een luik voorzien voor discussie/ verdieping, waar we onder andere zullen stilstaan bij noodzakelijke aanpassingen wanneer er sprake is van PTSS, eetproblemen en verslaving.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Hanneke van Leeuwen - Hanneke van Leeuwen is GZ-psycholo</w:t>
      </w:r>
      <w:r>
        <w:rPr>
          <w:rFonts w:ascii="Verdana" w:eastAsia="Times New Roman" w:hAnsi="Verdana"/>
          <w:sz w:val="18"/>
          <w:szCs w:val="18"/>
        </w:rPr>
        <w:t>og in opleiding tot klinisch 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3F20D3">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Linehan</w:t>
      </w:r>
      <w:proofErr w:type="spellEnd"/>
      <w:r>
        <w:rPr>
          <w:rFonts w:ascii="Verdana" w:eastAsia="Times New Roman" w:hAnsi="Verdana"/>
          <w:sz w:val="18"/>
          <w:szCs w:val="18"/>
        </w:rPr>
        <w:t>, M.M. (2016). De DGT-vaardigheden: handleiding voor de vaardighei</w:t>
      </w:r>
      <w:r>
        <w:rPr>
          <w:rFonts w:ascii="Verdana" w:eastAsia="Times New Roman" w:hAnsi="Verdana"/>
          <w:sz w:val="18"/>
          <w:szCs w:val="18"/>
        </w:rPr>
        <w:t xml:space="preserve">dstraining dialectische gedragstherapie (6e druk). Amsterdam: Pearson Assessment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Information B.V. ISBN: 9789026522802</w:t>
      </w:r>
    </w:p>
    <w:p w:rsidR="00000000" w:rsidRDefault="003F20D3">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Koerner</w:t>
      </w:r>
      <w:proofErr w:type="spellEnd"/>
      <w:r>
        <w:rPr>
          <w:rFonts w:ascii="Verdana" w:eastAsia="Times New Roman" w:hAnsi="Verdana"/>
          <w:sz w:val="18"/>
          <w:szCs w:val="18"/>
        </w:rPr>
        <w:t xml:space="preserve">, K. (2012). Dialectische gedragstherapie: een praktische handleiding (1e druk). Amsterdam: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ISBN: 9789</w:t>
      </w:r>
      <w:r>
        <w:rPr>
          <w:rFonts w:ascii="Verdana" w:eastAsia="Times New Roman" w:hAnsi="Verdana"/>
          <w:sz w:val="18"/>
          <w:szCs w:val="18"/>
        </w:rPr>
        <w:t>057123573</w:t>
      </w:r>
    </w:p>
    <w:p w:rsidR="00000000" w:rsidRDefault="003F20D3">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C5B"/>
    <w:multiLevelType w:val="multilevel"/>
    <w:tmpl w:val="9EA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14DD7"/>
    <w:multiLevelType w:val="multilevel"/>
    <w:tmpl w:val="D3B8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F20D3"/>
    <w:rsid w:val="003F2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29899B-1F66-49B8-8C61-09B073E7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3197">
      <w:marLeft w:val="0"/>
      <w:marRight w:val="0"/>
      <w:marTop w:val="0"/>
      <w:marBottom w:val="0"/>
      <w:divBdr>
        <w:top w:val="none" w:sz="0" w:space="0" w:color="auto"/>
        <w:left w:val="none" w:sz="0" w:space="0" w:color="auto"/>
        <w:bottom w:val="none" w:sz="0" w:space="0" w:color="auto"/>
        <w:right w:val="none" w:sz="0" w:space="0" w:color="auto"/>
      </w:divBdr>
      <w:divsChild>
        <w:div w:id="15423031">
          <w:marLeft w:val="0"/>
          <w:marRight w:val="0"/>
          <w:marTop w:val="0"/>
          <w:marBottom w:val="0"/>
          <w:divBdr>
            <w:top w:val="none" w:sz="0" w:space="0" w:color="auto"/>
            <w:left w:val="none" w:sz="0" w:space="0" w:color="auto"/>
            <w:bottom w:val="none" w:sz="0" w:space="0" w:color="auto"/>
            <w:right w:val="none" w:sz="0" w:space="0" w:color="auto"/>
          </w:divBdr>
          <w:divsChild>
            <w:div w:id="991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2020-04-24T11:36:00Z</dcterms:created>
  <dcterms:modified xsi:type="dcterms:W3CDTF">2020-04-24T11:36:00Z</dcterms:modified>
</cp:coreProperties>
</file>